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828" w:rsidRDefault="00290828"/>
    <w:p w:rsidR="008A7160" w:rsidRDefault="008A7160"/>
    <w:p w:rsidR="008A7160" w:rsidRDefault="008A7160"/>
    <w:p w:rsidR="008A7160" w:rsidRDefault="008A7160"/>
    <w:p w:rsidR="008A7160" w:rsidRDefault="008A7160"/>
    <w:p w:rsidR="008A7160" w:rsidRDefault="008A7160"/>
    <w:p w:rsidR="008A7160" w:rsidRDefault="008A7160"/>
    <w:p w:rsidR="008A7160" w:rsidRDefault="008A7160"/>
    <w:p w:rsidR="008A7160" w:rsidRDefault="008A7160"/>
    <w:p w:rsidR="008A7160" w:rsidRDefault="008A7160"/>
    <w:p w:rsidR="008A7160" w:rsidRDefault="008A7160"/>
    <w:p w:rsidR="008A7160" w:rsidRDefault="008A7160"/>
    <w:p w:rsidR="008A7160" w:rsidRDefault="008A7160"/>
    <w:p w:rsidR="008A7160" w:rsidRDefault="008A7160"/>
    <w:p w:rsidR="008A7160" w:rsidRPr="00CF02FA" w:rsidRDefault="008A7160" w:rsidP="008A7160">
      <w:pPr>
        <w:spacing w:line="480" w:lineRule="auto"/>
        <w:jc w:val="center"/>
        <w:rPr>
          <w:rFonts w:ascii="Times New Roman" w:hAnsi="Times New Roman" w:cs="Times New Roman"/>
          <w:sz w:val="24"/>
          <w:szCs w:val="24"/>
        </w:rPr>
      </w:pPr>
      <w:r w:rsidRPr="00CF02FA">
        <w:rPr>
          <w:rFonts w:ascii="Times New Roman" w:hAnsi="Times New Roman" w:cs="Times New Roman"/>
          <w:sz w:val="24"/>
          <w:szCs w:val="24"/>
        </w:rPr>
        <w:t>Reflection paper on Connections and Trade</w:t>
      </w:r>
    </w:p>
    <w:p w:rsidR="008A7160" w:rsidRPr="00CF02FA" w:rsidRDefault="008A7160" w:rsidP="008A7160">
      <w:pPr>
        <w:spacing w:line="480" w:lineRule="auto"/>
        <w:jc w:val="center"/>
        <w:rPr>
          <w:rFonts w:ascii="Times New Roman" w:hAnsi="Times New Roman" w:cs="Times New Roman"/>
          <w:sz w:val="24"/>
          <w:szCs w:val="24"/>
        </w:rPr>
      </w:pPr>
      <w:r w:rsidRPr="00CF02FA">
        <w:rPr>
          <w:rFonts w:ascii="Times New Roman" w:hAnsi="Times New Roman" w:cs="Times New Roman"/>
          <w:sz w:val="24"/>
          <w:szCs w:val="24"/>
        </w:rPr>
        <w:t>Student’s Name</w:t>
      </w:r>
    </w:p>
    <w:p w:rsidR="008A7160" w:rsidRPr="00CF02FA" w:rsidRDefault="008A7160" w:rsidP="008A7160">
      <w:pPr>
        <w:spacing w:line="480" w:lineRule="auto"/>
        <w:jc w:val="center"/>
        <w:rPr>
          <w:rFonts w:ascii="Times New Roman" w:hAnsi="Times New Roman" w:cs="Times New Roman"/>
          <w:sz w:val="24"/>
          <w:szCs w:val="24"/>
        </w:rPr>
      </w:pPr>
      <w:r w:rsidRPr="00CF02FA">
        <w:rPr>
          <w:rFonts w:ascii="Times New Roman" w:hAnsi="Times New Roman" w:cs="Times New Roman"/>
          <w:sz w:val="24"/>
          <w:szCs w:val="24"/>
        </w:rPr>
        <w:t>Professor’s Name</w:t>
      </w:r>
    </w:p>
    <w:p w:rsidR="008A7160" w:rsidRDefault="008A7160" w:rsidP="008A7160">
      <w:pPr>
        <w:jc w:val="center"/>
      </w:pPr>
      <w:r w:rsidRPr="00CF02FA">
        <w:rPr>
          <w:rFonts w:ascii="Times New Roman" w:hAnsi="Times New Roman" w:cs="Times New Roman"/>
          <w:sz w:val="24"/>
          <w:szCs w:val="24"/>
        </w:rPr>
        <w:t>Date</w:t>
      </w:r>
    </w:p>
    <w:p w:rsidR="008A7160" w:rsidRDefault="008A7160"/>
    <w:p w:rsidR="008A7160" w:rsidRDefault="008A7160"/>
    <w:p w:rsidR="008A7160" w:rsidRDefault="008A7160"/>
    <w:p w:rsidR="008A7160" w:rsidRDefault="008A7160"/>
    <w:p w:rsidR="008A7160" w:rsidRDefault="008A7160"/>
    <w:p w:rsidR="008A7160" w:rsidRDefault="008A7160"/>
    <w:p w:rsidR="008A7160" w:rsidRDefault="008A7160"/>
    <w:p w:rsidR="008A7160" w:rsidRDefault="008A7160"/>
    <w:p w:rsidR="008A7160" w:rsidRDefault="008A7160"/>
    <w:p w:rsidR="008A7160" w:rsidRPr="008A7160" w:rsidRDefault="008A7160" w:rsidP="008A7160">
      <w:pPr>
        <w:spacing w:line="480" w:lineRule="auto"/>
        <w:jc w:val="center"/>
        <w:rPr>
          <w:rFonts w:ascii="Times New Roman" w:eastAsia="Calibri" w:hAnsi="Times New Roman" w:cs="Times New Roman"/>
          <w:b/>
          <w:bCs/>
          <w:sz w:val="24"/>
          <w:szCs w:val="24"/>
        </w:rPr>
      </w:pPr>
      <w:r w:rsidRPr="008A7160">
        <w:rPr>
          <w:rFonts w:ascii="Times New Roman" w:eastAsia="Calibri" w:hAnsi="Times New Roman" w:cs="Times New Roman"/>
          <w:b/>
          <w:bCs/>
          <w:sz w:val="24"/>
          <w:szCs w:val="24"/>
        </w:rPr>
        <w:lastRenderedPageBreak/>
        <w:t>The role that Ghana and Mali played and their connections with the broader world</w:t>
      </w:r>
    </w:p>
    <w:p w:rsidR="008A7160" w:rsidRPr="008A7160" w:rsidRDefault="008A7160" w:rsidP="008A7160">
      <w:pPr>
        <w:spacing w:line="480" w:lineRule="auto"/>
        <w:rPr>
          <w:rFonts w:ascii="Times New Roman" w:eastAsia="Calibri" w:hAnsi="Times New Roman" w:cs="Times New Roman"/>
          <w:sz w:val="24"/>
          <w:szCs w:val="24"/>
        </w:rPr>
      </w:pPr>
      <w:r w:rsidRPr="008A7160">
        <w:rPr>
          <w:rFonts w:ascii="Times New Roman" w:eastAsia="Calibri" w:hAnsi="Times New Roman" w:cs="Times New Roman"/>
          <w:sz w:val="24"/>
          <w:szCs w:val="24"/>
        </w:rPr>
        <w:tab/>
        <w:t>The Kings of Ghana in the 10</w:t>
      </w:r>
      <w:r w:rsidRPr="008A7160">
        <w:rPr>
          <w:rFonts w:ascii="Times New Roman" w:eastAsia="Calibri" w:hAnsi="Times New Roman" w:cs="Times New Roman"/>
          <w:sz w:val="24"/>
          <w:szCs w:val="24"/>
          <w:vertAlign w:val="superscript"/>
        </w:rPr>
        <w:t>th</w:t>
      </w:r>
      <w:r w:rsidRPr="008A7160">
        <w:rPr>
          <w:rFonts w:ascii="Times New Roman" w:eastAsia="Calibri" w:hAnsi="Times New Roman" w:cs="Times New Roman"/>
          <w:sz w:val="24"/>
          <w:szCs w:val="24"/>
        </w:rPr>
        <w:t xml:space="preserve"> century extended their kingdom affairs over the Amazigh group of nomads who were living around Audaghost, which bordered them at the North. These </w:t>
      </w:r>
      <w:r w:rsidRPr="008A7160">
        <w:rPr>
          <w:rFonts w:ascii="Times New Roman" w:eastAsia="Calibri" w:hAnsi="Times New Roman" w:cs="Times New Roman"/>
          <w:sz w:val="24"/>
          <w:szCs w:val="24"/>
        </w:rPr>
        <w:t>neighbors</w:t>
      </w:r>
      <w:r w:rsidRPr="008A7160">
        <w:rPr>
          <w:rFonts w:ascii="Times New Roman" w:eastAsia="Calibri" w:hAnsi="Times New Roman" w:cs="Times New Roman"/>
          <w:sz w:val="24"/>
          <w:szCs w:val="24"/>
        </w:rPr>
        <w:t xml:space="preserve"> supplied them with salt as the primary commodity and any other goods from North Africa. The move caused an economic imbalance between the pastoralists Sanhajah’s and the agriculturalists who were from Ghana. Ghana had already conquered the Imazighen of North Africa who was already then Islamized; the Sanhajah followed the lead. Due to one religion, they eliminated their differences and became united under one movement known as the Almoravids. In the mid-11</w:t>
      </w:r>
      <w:r w:rsidRPr="008A7160">
        <w:rPr>
          <w:rFonts w:ascii="Times New Roman" w:eastAsia="Calibri" w:hAnsi="Times New Roman" w:cs="Times New Roman"/>
          <w:sz w:val="24"/>
          <w:szCs w:val="24"/>
          <w:vertAlign w:val="superscript"/>
        </w:rPr>
        <w:t>th</w:t>
      </w:r>
      <w:r w:rsidRPr="008A7160">
        <w:rPr>
          <w:rFonts w:ascii="Times New Roman" w:eastAsia="Calibri" w:hAnsi="Times New Roman" w:cs="Times New Roman"/>
          <w:sz w:val="24"/>
          <w:szCs w:val="24"/>
        </w:rPr>
        <w:t xml:space="preserve"> century, they expanded their kingdom to Western Sahara because of their land productivity. </w:t>
      </w:r>
    </w:p>
    <w:p w:rsidR="008A7160" w:rsidRPr="008A7160" w:rsidRDefault="008A7160" w:rsidP="008A7160">
      <w:pPr>
        <w:spacing w:line="480" w:lineRule="auto"/>
        <w:ind w:firstLine="720"/>
        <w:rPr>
          <w:rFonts w:ascii="Times New Roman" w:eastAsia="Calibri" w:hAnsi="Times New Roman" w:cs="Times New Roman"/>
          <w:sz w:val="24"/>
          <w:szCs w:val="24"/>
        </w:rPr>
      </w:pPr>
      <w:r w:rsidRPr="008A7160">
        <w:rPr>
          <w:rFonts w:ascii="Times New Roman" w:eastAsia="Calibri" w:hAnsi="Times New Roman" w:cs="Times New Roman"/>
          <w:sz w:val="24"/>
          <w:szCs w:val="24"/>
        </w:rPr>
        <w:t xml:space="preserve"> Later in the Century, Ghana took dominion over many western Kingdoms. The dominance led to the fast spread of Islam religion, the rise of social classes and the establishment of a better-structured government.</w:t>
      </w:r>
    </w:p>
    <w:p w:rsidR="008A7160" w:rsidRPr="008A7160" w:rsidRDefault="008A7160" w:rsidP="008A7160">
      <w:pPr>
        <w:spacing w:line="480" w:lineRule="auto"/>
        <w:ind w:firstLine="720"/>
        <w:rPr>
          <w:rFonts w:ascii="Times New Roman" w:eastAsia="Calibri" w:hAnsi="Times New Roman" w:cs="Times New Roman"/>
          <w:sz w:val="24"/>
          <w:szCs w:val="24"/>
        </w:rPr>
      </w:pPr>
      <w:r w:rsidRPr="008A7160">
        <w:rPr>
          <w:rFonts w:ascii="Times New Roman" w:eastAsia="Calibri" w:hAnsi="Times New Roman" w:cs="Times New Roman"/>
          <w:sz w:val="24"/>
          <w:szCs w:val="24"/>
        </w:rPr>
        <w:t>Mali kingdom rose to power after the fall of the Ghanaian kingdom. The decay of the empire of Ghana was accelerated by the constant misunderstandings among the Almoravids' herds and the agriculturalists</w:t>
      </w:r>
      <w:r w:rsidR="007719AF">
        <w:rPr>
          <w:rStyle w:val="FootnoteReference"/>
          <w:rFonts w:ascii="Times New Roman" w:eastAsia="Calibri" w:hAnsi="Times New Roman" w:cs="Times New Roman"/>
          <w:sz w:val="24"/>
          <w:szCs w:val="24"/>
        </w:rPr>
        <w:footnoteReference w:id="1"/>
      </w:r>
      <w:r w:rsidRPr="008A7160">
        <w:rPr>
          <w:rFonts w:ascii="Times New Roman" w:eastAsia="Calibri" w:hAnsi="Times New Roman" w:cs="Times New Roman"/>
          <w:sz w:val="24"/>
          <w:szCs w:val="24"/>
        </w:rPr>
        <w:t xml:space="preserve">. Around 1235, at the reign of Sundiata of the Keita Kings of Mali acquired ascendancy and incorporated the remains of Mali kingdom into his. Mali kingdom was rich in gold-bearing land and was also well watered. This clan of the Keita were originally traders, and their powers extended from Niger to Timbuktu and Gao the trading cities. They set routes across the trans-Sahara. Niger </w:t>
      </w:r>
      <w:r w:rsidR="007D3E72" w:rsidRPr="008A7160">
        <w:rPr>
          <w:rFonts w:ascii="Times New Roman" w:eastAsia="Calibri" w:hAnsi="Times New Roman" w:cs="Times New Roman"/>
          <w:sz w:val="24"/>
          <w:szCs w:val="24"/>
        </w:rPr>
        <w:t>River</w:t>
      </w:r>
      <w:r w:rsidRPr="008A7160">
        <w:rPr>
          <w:rFonts w:ascii="Times New Roman" w:eastAsia="Calibri" w:hAnsi="Times New Roman" w:cs="Times New Roman"/>
          <w:sz w:val="24"/>
          <w:szCs w:val="24"/>
        </w:rPr>
        <w:t xml:space="preserve"> was a natural means of communication and a means </w:t>
      </w:r>
      <w:r w:rsidRPr="008A7160">
        <w:rPr>
          <w:rFonts w:ascii="Times New Roman" w:eastAsia="Calibri" w:hAnsi="Times New Roman" w:cs="Times New Roman"/>
          <w:sz w:val="24"/>
          <w:szCs w:val="24"/>
        </w:rPr>
        <w:lastRenderedPageBreak/>
        <w:t>of transport to the goldfields. They also developed traded routes southeastwards leading to the rise of the New Mali.</w:t>
      </w:r>
    </w:p>
    <w:p w:rsidR="008A7160" w:rsidRPr="008A7160" w:rsidRDefault="008A7160" w:rsidP="008A7160">
      <w:pPr>
        <w:spacing w:line="480" w:lineRule="auto"/>
        <w:ind w:firstLine="720"/>
        <w:rPr>
          <w:rFonts w:ascii="Times New Roman" w:eastAsia="Calibri" w:hAnsi="Times New Roman" w:cs="Times New Roman"/>
          <w:sz w:val="24"/>
          <w:szCs w:val="24"/>
        </w:rPr>
      </w:pPr>
      <w:r w:rsidRPr="008A7160">
        <w:rPr>
          <w:rFonts w:ascii="Times New Roman" w:eastAsia="Calibri" w:hAnsi="Times New Roman" w:cs="Times New Roman"/>
          <w:sz w:val="24"/>
          <w:szCs w:val="24"/>
        </w:rPr>
        <w:t xml:space="preserve">The merchants were Muslims and therefore contributed to the spread of Islam religion in the west and rise of trading classes in Africa. Literacy again came as a benefit of religion. </w:t>
      </w:r>
    </w:p>
    <w:p w:rsidR="008A7160" w:rsidRPr="008A7160" w:rsidRDefault="008A7160" w:rsidP="008A7160">
      <w:pPr>
        <w:spacing w:line="480" w:lineRule="auto"/>
        <w:ind w:firstLine="720"/>
        <w:jc w:val="center"/>
        <w:rPr>
          <w:rFonts w:ascii="Times New Roman" w:eastAsia="Calibri" w:hAnsi="Times New Roman" w:cs="Times New Roman"/>
          <w:b/>
          <w:bCs/>
          <w:sz w:val="24"/>
          <w:szCs w:val="24"/>
        </w:rPr>
      </w:pPr>
      <w:r w:rsidRPr="008A7160">
        <w:rPr>
          <w:rFonts w:ascii="Times New Roman" w:eastAsia="Calibri" w:hAnsi="Times New Roman" w:cs="Times New Roman"/>
          <w:b/>
          <w:bCs/>
          <w:sz w:val="24"/>
          <w:szCs w:val="24"/>
        </w:rPr>
        <w:t>How new technology and trade affect world societies and contribute to population growth</w:t>
      </w:r>
    </w:p>
    <w:p w:rsidR="008A7160" w:rsidRPr="008A7160" w:rsidRDefault="008A7160" w:rsidP="008A7160">
      <w:pPr>
        <w:spacing w:line="480" w:lineRule="auto"/>
        <w:ind w:firstLine="720"/>
        <w:rPr>
          <w:rFonts w:ascii="Times New Roman" w:eastAsia="Calibri" w:hAnsi="Times New Roman" w:cs="Times New Roman"/>
          <w:sz w:val="24"/>
          <w:szCs w:val="24"/>
        </w:rPr>
      </w:pPr>
      <w:r w:rsidRPr="008A7160">
        <w:rPr>
          <w:rFonts w:ascii="Times New Roman" w:eastAsia="Calibri" w:hAnsi="Times New Roman" w:cs="Times New Roman"/>
          <w:sz w:val="24"/>
          <w:szCs w:val="24"/>
        </w:rPr>
        <w:t xml:space="preserve">Trade, for instance, during the Tang dynasty, had prospered. As silk trade was at the peak, new technologies would be exchanged between the west and the East. Emperor Wu of Han formulated the </w:t>
      </w:r>
      <w:r w:rsidR="007D3E72" w:rsidRPr="008A7160">
        <w:rPr>
          <w:rFonts w:ascii="Times New Roman" w:eastAsia="Calibri" w:hAnsi="Times New Roman" w:cs="Times New Roman"/>
          <w:sz w:val="24"/>
          <w:szCs w:val="24"/>
        </w:rPr>
        <w:t>Silk Road</w:t>
      </w:r>
      <w:r w:rsidRPr="008A7160">
        <w:rPr>
          <w:rFonts w:ascii="Times New Roman" w:eastAsia="Calibri" w:hAnsi="Times New Roman" w:cs="Times New Roman"/>
          <w:sz w:val="24"/>
          <w:szCs w:val="24"/>
        </w:rPr>
        <w:t xml:space="preserve"> from China to West but was reopened by the Tang </w:t>
      </w:r>
      <w:r w:rsidR="007D3E72" w:rsidRPr="008A7160">
        <w:rPr>
          <w:rFonts w:ascii="Times New Roman" w:eastAsia="Calibri" w:hAnsi="Times New Roman" w:cs="Times New Roman"/>
          <w:sz w:val="24"/>
          <w:szCs w:val="24"/>
        </w:rPr>
        <w:t>Empire</w:t>
      </w:r>
      <w:r w:rsidRPr="008A7160">
        <w:rPr>
          <w:rFonts w:ascii="Times New Roman" w:eastAsia="Calibri" w:hAnsi="Times New Roman" w:cs="Times New Roman"/>
          <w:sz w:val="24"/>
          <w:szCs w:val="24"/>
        </w:rPr>
        <w:t xml:space="preserve"> by Hou Junji and remained opened for more than forty years.</w:t>
      </w:r>
    </w:p>
    <w:p w:rsidR="008A7160" w:rsidRPr="008A7160" w:rsidRDefault="008A7160" w:rsidP="008A7160">
      <w:pPr>
        <w:spacing w:line="480" w:lineRule="auto"/>
        <w:ind w:firstLine="720"/>
        <w:rPr>
          <w:rFonts w:ascii="Times New Roman" w:eastAsia="Calibri" w:hAnsi="Times New Roman" w:cs="Times New Roman"/>
          <w:sz w:val="24"/>
          <w:szCs w:val="24"/>
        </w:rPr>
      </w:pPr>
      <w:r w:rsidRPr="008A7160">
        <w:rPr>
          <w:rFonts w:ascii="Times New Roman" w:eastAsia="Calibri" w:hAnsi="Times New Roman" w:cs="Times New Roman"/>
          <w:sz w:val="24"/>
          <w:szCs w:val="24"/>
        </w:rPr>
        <w:t>Trade affected the world’s economic and political relations. It also led to civilization. Apart from the exportation of silk from china as the major commodity, other goods were traded. This included religion, syncretic philosophies and spread of new diseases. Cultural trade was also a major element. Seaport technology among the Chinese developed rapidly and gave rise to massive seaports</w:t>
      </w:r>
      <w:r w:rsidR="007719AF">
        <w:rPr>
          <w:rStyle w:val="FootnoteReference"/>
          <w:rFonts w:ascii="Times New Roman" w:eastAsia="Calibri" w:hAnsi="Times New Roman" w:cs="Times New Roman"/>
          <w:sz w:val="24"/>
          <w:szCs w:val="24"/>
        </w:rPr>
        <w:footnoteReference w:id="2"/>
      </w:r>
      <w:r w:rsidRPr="008A7160">
        <w:rPr>
          <w:rFonts w:ascii="Times New Roman" w:eastAsia="Calibri" w:hAnsi="Times New Roman" w:cs="Times New Roman"/>
          <w:sz w:val="24"/>
          <w:szCs w:val="24"/>
        </w:rPr>
        <w:t xml:space="preserve">. Development of trade routes was an element of technology due to the use of compasses and cruise ships in the Mediterranean Sea as well as the Indian </w:t>
      </w:r>
      <w:r w:rsidR="004B1791" w:rsidRPr="008A7160">
        <w:rPr>
          <w:rFonts w:ascii="Times New Roman" w:eastAsia="Calibri" w:hAnsi="Times New Roman" w:cs="Times New Roman"/>
          <w:sz w:val="24"/>
          <w:szCs w:val="24"/>
        </w:rPr>
        <w:t>Ocean</w:t>
      </w:r>
      <w:r w:rsidRPr="008A7160">
        <w:rPr>
          <w:rFonts w:ascii="Times New Roman" w:eastAsia="Calibri" w:hAnsi="Times New Roman" w:cs="Times New Roman"/>
          <w:sz w:val="24"/>
          <w:szCs w:val="24"/>
        </w:rPr>
        <w:t xml:space="preserve">. It led to the growth of new population due to intermarriages and cultural trade. </w:t>
      </w:r>
    </w:p>
    <w:p w:rsidR="008A7160" w:rsidRPr="008A7160" w:rsidRDefault="008476B5" w:rsidP="008A7160">
      <w:pPr>
        <w:spacing w:line="480" w:lineRule="auto"/>
        <w:ind w:firstLine="72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Things valued during Harun al- Rashid’s </w:t>
      </w:r>
      <w:r w:rsidR="008A7160" w:rsidRPr="008A7160">
        <w:rPr>
          <w:rFonts w:ascii="Times New Roman" w:eastAsia="Calibri" w:hAnsi="Times New Roman" w:cs="Times New Roman"/>
          <w:b/>
          <w:bCs/>
          <w:sz w:val="24"/>
          <w:szCs w:val="24"/>
        </w:rPr>
        <w:t>time</w:t>
      </w:r>
    </w:p>
    <w:p w:rsidR="008A7160" w:rsidRPr="008A7160" w:rsidRDefault="008A7160" w:rsidP="008A7160">
      <w:pPr>
        <w:spacing w:line="480" w:lineRule="auto"/>
        <w:ind w:firstLine="720"/>
        <w:rPr>
          <w:rFonts w:ascii="Times New Roman" w:eastAsia="Calibri" w:hAnsi="Times New Roman" w:cs="Times New Roman"/>
          <w:sz w:val="24"/>
          <w:szCs w:val="24"/>
          <w:shd w:val="clear" w:color="auto" w:fill="FFFFFF"/>
        </w:rPr>
      </w:pPr>
      <w:r w:rsidRPr="008A7160">
        <w:rPr>
          <w:rFonts w:ascii="Times New Roman" w:eastAsia="Calibri" w:hAnsi="Times New Roman" w:cs="Times New Roman"/>
          <w:sz w:val="24"/>
          <w:szCs w:val="24"/>
        </w:rPr>
        <w:lastRenderedPageBreak/>
        <w:t xml:space="preserve">Harun was born in Rayy, Iran in February </w:t>
      </w:r>
      <w:r w:rsidRPr="008A7160">
        <w:rPr>
          <w:rFonts w:ascii="Times New Roman" w:eastAsia="Calibri" w:hAnsi="Times New Roman" w:cs="Times New Roman"/>
          <w:sz w:val="24"/>
          <w:szCs w:val="24"/>
          <w:shd w:val="clear" w:color="auto" w:fill="F2F2F2"/>
        </w:rPr>
        <w:t xml:space="preserve">766 and died in Tus March </w:t>
      </w:r>
      <w:r w:rsidRPr="008A7160">
        <w:rPr>
          <w:rFonts w:ascii="Times New Roman" w:eastAsia="Calibri" w:hAnsi="Times New Roman" w:cs="Times New Roman"/>
          <w:sz w:val="24"/>
          <w:szCs w:val="24"/>
          <w:shd w:val="clear" w:color="auto" w:fill="FFFFFF"/>
        </w:rPr>
        <w:t>24, 809 (aged 43). He was not a great leader or a man with a prepossessing character. He was a lavish art patron. His fame arose due to the wealthy and his court's luxury outweighing the previously known. He is a legend of the Arabs. During his time, music and poetry were highly valued, and he gave gifts to the great musicians and poets</w:t>
      </w:r>
      <w:r w:rsidR="007719AF">
        <w:rPr>
          <w:rStyle w:val="FootnoteReference"/>
          <w:rFonts w:ascii="Times New Roman" w:eastAsia="Calibri" w:hAnsi="Times New Roman" w:cs="Times New Roman"/>
          <w:sz w:val="24"/>
          <w:szCs w:val="24"/>
          <w:shd w:val="clear" w:color="auto" w:fill="FFFFFF"/>
        </w:rPr>
        <w:footnoteReference w:id="3"/>
      </w:r>
      <w:r w:rsidRPr="008A7160">
        <w:rPr>
          <w:rFonts w:ascii="Times New Roman" w:eastAsia="Calibri" w:hAnsi="Times New Roman" w:cs="Times New Roman"/>
          <w:sz w:val="24"/>
          <w:szCs w:val="24"/>
          <w:shd w:val="clear" w:color="auto" w:fill="FFFFFF"/>
        </w:rPr>
        <w:t>.</w:t>
      </w:r>
    </w:p>
    <w:p w:rsidR="008A7160" w:rsidRPr="008A7160" w:rsidRDefault="008A7160" w:rsidP="008A7160">
      <w:pPr>
        <w:spacing w:line="480" w:lineRule="auto"/>
        <w:ind w:firstLine="720"/>
        <w:rPr>
          <w:rFonts w:ascii="Times New Roman" w:eastAsia="Calibri" w:hAnsi="Times New Roman" w:cs="Times New Roman"/>
          <w:b/>
          <w:bCs/>
          <w:sz w:val="24"/>
          <w:szCs w:val="24"/>
          <w:shd w:val="clear" w:color="auto" w:fill="FFFFFF"/>
        </w:rPr>
      </w:pPr>
    </w:p>
    <w:p w:rsidR="008A7160" w:rsidRPr="008A7160" w:rsidRDefault="008A7160" w:rsidP="008A7160">
      <w:pPr>
        <w:spacing w:line="480" w:lineRule="auto"/>
        <w:ind w:firstLine="720"/>
        <w:jc w:val="center"/>
        <w:rPr>
          <w:rFonts w:ascii="Times New Roman" w:eastAsia="Calibri" w:hAnsi="Times New Roman" w:cs="Times New Roman"/>
          <w:b/>
          <w:bCs/>
          <w:sz w:val="24"/>
          <w:szCs w:val="24"/>
          <w:shd w:val="clear" w:color="auto" w:fill="FFFFFF"/>
        </w:rPr>
      </w:pPr>
      <w:r w:rsidRPr="008A7160">
        <w:rPr>
          <w:rFonts w:ascii="Times New Roman" w:eastAsia="Calibri" w:hAnsi="Times New Roman" w:cs="Times New Roman"/>
          <w:b/>
          <w:bCs/>
          <w:sz w:val="24"/>
          <w:szCs w:val="24"/>
          <w:shd w:val="clear" w:color="auto" w:fill="FFFFFF"/>
        </w:rPr>
        <w:t>Are high stakes examination systems a true meritocracy?</w:t>
      </w:r>
    </w:p>
    <w:p w:rsidR="008A7160" w:rsidRPr="008A7160" w:rsidRDefault="008A7160" w:rsidP="008A7160">
      <w:pPr>
        <w:spacing w:line="480" w:lineRule="auto"/>
        <w:ind w:firstLine="720"/>
        <w:rPr>
          <w:rFonts w:ascii="Times New Roman" w:eastAsia="Calibri" w:hAnsi="Times New Roman" w:cs="Times New Roman"/>
          <w:b/>
          <w:bCs/>
          <w:sz w:val="24"/>
          <w:szCs w:val="24"/>
          <w:shd w:val="clear" w:color="auto" w:fill="FFFFFF"/>
        </w:rPr>
      </w:pPr>
      <w:r w:rsidRPr="008A7160">
        <w:rPr>
          <w:rFonts w:ascii="Times New Roman" w:eastAsia="Calibri" w:hAnsi="Times New Roman" w:cs="Times New Roman"/>
          <w:sz w:val="24"/>
          <w:szCs w:val="24"/>
          <w:shd w:val="clear" w:color="auto" w:fill="FFFFFF"/>
        </w:rPr>
        <w:t>Meritocracy is the rule by merit or talent.</w:t>
      </w:r>
      <w:r w:rsidR="00834793" w:rsidRPr="00834793">
        <w:rPr>
          <w:rFonts w:ascii="Times New Roman" w:eastAsia="Calibri" w:hAnsi="Times New Roman" w:cs="Times New Roman"/>
          <w:sz w:val="24"/>
          <w:szCs w:val="24"/>
          <w:shd w:val="clear" w:color="auto" w:fill="FFFFFF"/>
        </w:rPr>
        <w:t xml:space="preserve"> The high stake was introduced to the US by Alfred Binet, who first developed the IQ test for kids to test if they disabled mildly in development. It was borrowed from France</w:t>
      </w:r>
      <w:r w:rsidRPr="008A7160">
        <w:rPr>
          <w:rFonts w:ascii="Times New Roman" w:eastAsia="Calibri" w:hAnsi="Times New Roman" w:cs="Times New Roman"/>
          <w:sz w:val="24"/>
          <w:szCs w:val="24"/>
          <w:shd w:val="clear" w:color="auto" w:fill="FFFFFF"/>
        </w:rPr>
        <w:t xml:space="preserve"> Here, social status, wealth and income are assigned through competition. Standardized testing has become a policy in many countries around the globe. This is done with the ideology of advancing meritocracy, but in turn, it masks some inequalities which are related to economic class and race.</w:t>
      </w:r>
      <w:r w:rsidR="007719AF">
        <w:rPr>
          <w:rStyle w:val="FootnoteReference"/>
          <w:rFonts w:ascii="Times New Roman" w:eastAsia="Calibri" w:hAnsi="Times New Roman" w:cs="Times New Roman"/>
          <w:sz w:val="24"/>
          <w:szCs w:val="24"/>
          <w:shd w:val="clear" w:color="auto" w:fill="FFFFFF"/>
        </w:rPr>
        <w:footnoteReference w:id="4"/>
      </w:r>
      <w:r w:rsidRPr="008A7160">
        <w:rPr>
          <w:rFonts w:ascii="Times New Roman" w:eastAsia="Calibri" w:hAnsi="Times New Roman" w:cs="Times New Roman"/>
          <w:sz w:val="24"/>
          <w:szCs w:val="24"/>
          <w:shd w:val="clear" w:color="auto" w:fill="FFFFFF"/>
        </w:rPr>
        <w:t xml:space="preserve"> High stakes exams system leads to the establishment of an imbalanced society since every aspect runs through a series of competition. </w:t>
      </w:r>
      <w:r w:rsidR="00834793">
        <w:rPr>
          <w:rFonts w:ascii="Times New Roman" w:eastAsia="Calibri" w:hAnsi="Times New Roman" w:cs="Times New Roman"/>
          <w:sz w:val="24"/>
          <w:szCs w:val="24"/>
          <w:shd w:val="clear" w:color="auto" w:fill="FFFFFF"/>
        </w:rPr>
        <w:t xml:space="preserve">Therefore, high stakes is not a true meritocracy as it contributes to further racial inequality in education. </w:t>
      </w:r>
      <w:bookmarkStart w:id="0" w:name="_GoBack"/>
      <w:bookmarkEnd w:id="0"/>
    </w:p>
    <w:p w:rsidR="008A7160" w:rsidRDefault="008A7160"/>
    <w:p w:rsidR="00A82DC4" w:rsidRDefault="00A82DC4"/>
    <w:p w:rsidR="00A82DC4" w:rsidRDefault="00A82DC4"/>
    <w:p w:rsidR="00A82DC4" w:rsidRDefault="00A82DC4"/>
    <w:p w:rsidR="00A82DC4" w:rsidRPr="00A82DC4" w:rsidRDefault="00A82DC4" w:rsidP="00A82DC4">
      <w:pPr>
        <w:spacing w:line="480" w:lineRule="auto"/>
        <w:jc w:val="center"/>
        <w:rPr>
          <w:rFonts w:ascii="Times New Roman" w:eastAsia="Calibri" w:hAnsi="Times New Roman" w:cs="Times New Roman"/>
          <w:b/>
          <w:bCs/>
          <w:sz w:val="24"/>
          <w:szCs w:val="24"/>
        </w:rPr>
      </w:pPr>
      <w:r w:rsidRPr="00A82DC4">
        <w:rPr>
          <w:rFonts w:ascii="Times New Roman" w:eastAsia="Calibri" w:hAnsi="Times New Roman" w:cs="Times New Roman"/>
          <w:b/>
          <w:bCs/>
          <w:sz w:val="24"/>
          <w:szCs w:val="24"/>
        </w:rPr>
        <w:lastRenderedPageBreak/>
        <w:t xml:space="preserve">Bibliography </w:t>
      </w:r>
    </w:p>
    <w:p w:rsidR="00A82DC4" w:rsidRPr="00A82DC4" w:rsidRDefault="00A82DC4" w:rsidP="00A82DC4">
      <w:pPr>
        <w:spacing w:line="480" w:lineRule="auto"/>
        <w:ind w:left="720" w:hanging="720"/>
        <w:rPr>
          <w:rFonts w:ascii="Times New Roman" w:eastAsia="Calibri" w:hAnsi="Times New Roman" w:cs="Times New Roman"/>
          <w:sz w:val="24"/>
          <w:szCs w:val="24"/>
        </w:rPr>
      </w:pPr>
      <w:r w:rsidRPr="00A82DC4">
        <w:rPr>
          <w:rFonts w:ascii="Times New Roman" w:eastAsia="Calibri" w:hAnsi="Times New Roman" w:cs="Times New Roman"/>
          <w:sz w:val="24"/>
          <w:szCs w:val="24"/>
        </w:rPr>
        <w:t>Au, Wayne. "Meritocracy 2.0: High-stakes, standardized testing as a racial project of neoliberal multiculturalism." </w:t>
      </w:r>
      <w:r w:rsidRPr="00A82DC4">
        <w:rPr>
          <w:rFonts w:ascii="Times New Roman" w:eastAsia="Calibri" w:hAnsi="Times New Roman" w:cs="Times New Roman"/>
          <w:i/>
          <w:iCs/>
          <w:sz w:val="24"/>
          <w:szCs w:val="24"/>
        </w:rPr>
        <w:t>Educational Policy</w:t>
      </w:r>
      <w:r w:rsidRPr="00A82DC4">
        <w:rPr>
          <w:rFonts w:ascii="Times New Roman" w:eastAsia="Calibri" w:hAnsi="Times New Roman" w:cs="Times New Roman"/>
          <w:sz w:val="24"/>
          <w:szCs w:val="24"/>
        </w:rPr>
        <w:t> 30, no. 1 (2016): 39-62.</w:t>
      </w:r>
    </w:p>
    <w:p w:rsidR="00A82DC4" w:rsidRPr="00A82DC4" w:rsidRDefault="00A82DC4" w:rsidP="00A82DC4">
      <w:pPr>
        <w:spacing w:line="480" w:lineRule="auto"/>
        <w:ind w:left="720" w:hanging="720"/>
        <w:rPr>
          <w:rFonts w:ascii="Times New Roman" w:eastAsia="Calibri" w:hAnsi="Times New Roman" w:cs="Times New Roman"/>
          <w:sz w:val="24"/>
          <w:szCs w:val="24"/>
        </w:rPr>
      </w:pPr>
      <w:r w:rsidRPr="00A82DC4">
        <w:rPr>
          <w:rFonts w:ascii="Times New Roman" w:eastAsia="Calibri" w:hAnsi="Times New Roman" w:cs="Times New Roman"/>
          <w:sz w:val="24"/>
          <w:szCs w:val="24"/>
        </w:rPr>
        <w:t>Ehrlich, Paul R., and John P. Holdren. "Impact of population growth." </w:t>
      </w:r>
      <w:r w:rsidRPr="00A82DC4">
        <w:rPr>
          <w:rFonts w:ascii="Times New Roman" w:eastAsia="Calibri" w:hAnsi="Times New Roman" w:cs="Times New Roman"/>
          <w:i/>
          <w:iCs/>
          <w:sz w:val="24"/>
          <w:szCs w:val="24"/>
        </w:rPr>
        <w:t>Science</w:t>
      </w:r>
      <w:r w:rsidRPr="00A82DC4">
        <w:rPr>
          <w:rFonts w:ascii="Times New Roman" w:eastAsia="Calibri" w:hAnsi="Times New Roman" w:cs="Times New Roman"/>
          <w:sz w:val="24"/>
          <w:szCs w:val="24"/>
        </w:rPr>
        <w:t> 171, no. 3977 (1971): 1212-1217.</w:t>
      </w:r>
    </w:p>
    <w:p w:rsidR="00A82DC4" w:rsidRPr="00A82DC4" w:rsidRDefault="00A82DC4" w:rsidP="00A82DC4">
      <w:pPr>
        <w:spacing w:line="480" w:lineRule="auto"/>
        <w:ind w:left="720" w:hanging="720"/>
        <w:rPr>
          <w:rFonts w:ascii="Times New Roman" w:eastAsia="Calibri" w:hAnsi="Times New Roman" w:cs="Times New Roman"/>
          <w:sz w:val="24"/>
          <w:szCs w:val="24"/>
        </w:rPr>
      </w:pPr>
      <w:r w:rsidRPr="00A82DC4">
        <w:rPr>
          <w:rFonts w:ascii="Times New Roman" w:eastAsia="Calibri" w:hAnsi="Times New Roman" w:cs="Times New Roman"/>
          <w:sz w:val="24"/>
          <w:szCs w:val="24"/>
        </w:rPr>
        <w:t>El-Hibri, Tayeb, and Tayeb Hibri. </w:t>
      </w:r>
      <w:r w:rsidRPr="00A82DC4">
        <w:rPr>
          <w:rFonts w:ascii="Times New Roman" w:eastAsia="Calibri" w:hAnsi="Times New Roman" w:cs="Times New Roman"/>
          <w:i/>
          <w:iCs/>
          <w:sz w:val="24"/>
          <w:szCs w:val="24"/>
        </w:rPr>
        <w:t>Reinterpreting Islamic historiography: Harun al-Rashid and the narrative of the Abbasid caliphate</w:t>
      </w:r>
      <w:r w:rsidRPr="00A82DC4">
        <w:rPr>
          <w:rFonts w:ascii="Times New Roman" w:eastAsia="Calibri" w:hAnsi="Times New Roman" w:cs="Times New Roman"/>
          <w:sz w:val="24"/>
          <w:szCs w:val="24"/>
        </w:rPr>
        <w:t>. Cambridge University Press, 1999.</w:t>
      </w:r>
    </w:p>
    <w:p w:rsidR="00A82DC4" w:rsidRPr="00A82DC4" w:rsidRDefault="00A82DC4" w:rsidP="00A82DC4">
      <w:pPr>
        <w:spacing w:line="480" w:lineRule="auto"/>
        <w:ind w:left="720" w:hanging="720"/>
        <w:rPr>
          <w:rFonts w:ascii="Times New Roman" w:eastAsia="Calibri" w:hAnsi="Times New Roman" w:cs="Times New Roman"/>
          <w:sz w:val="24"/>
          <w:szCs w:val="24"/>
        </w:rPr>
      </w:pPr>
      <w:r w:rsidRPr="00A82DC4">
        <w:rPr>
          <w:rFonts w:ascii="Times New Roman" w:eastAsia="Calibri" w:hAnsi="Times New Roman" w:cs="Times New Roman"/>
          <w:sz w:val="24"/>
          <w:szCs w:val="24"/>
        </w:rPr>
        <w:t xml:space="preserve">Mitchell, Peter. </w:t>
      </w:r>
      <w:r w:rsidRPr="00A82DC4">
        <w:rPr>
          <w:rFonts w:ascii="Times New Roman" w:eastAsia="Calibri" w:hAnsi="Times New Roman" w:cs="Times New Roman"/>
          <w:i/>
          <w:iCs/>
          <w:sz w:val="24"/>
          <w:szCs w:val="24"/>
        </w:rPr>
        <w:t>African connections</w:t>
      </w:r>
      <w:r w:rsidRPr="00A82DC4">
        <w:rPr>
          <w:rFonts w:ascii="Times New Roman" w:eastAsia="Calibri" w:hAnsi="Times New Roman" w:cs="Times New Roman"/>
          <w:sz w:val="24"/>
          <w:szCs w:val="24"/>
        </w:rPr>
        <w:t xml:space="preserve">: </w:t>
      </w:r>
      <w:r w:rsidRPr="00A82DC4">
        <w:rPr>
          <w:rFonts w:ascii="Times New Roman" w:eastAsia="Calibri" w:hAnsi="Times New Roman" w:cs="Times New Roman"/>
          <w:i/>
          <w:iCs/>
          <w:sz w:val="24"/>
          <w:szCs w:val="24"/>
        </w:rPr>
        <w:t>Archaeological perspectives on Africa and the wider world</w:t>
      </w:r>
      <w:r w:rsidRPr="00A82DC4">
        <w:rPr>
          <w:rFonts w:ascii="Times New Roman" w:eastAsia="Calibri" w:hAnsi="Times New Roman" w:cs="Times New Roman"/>
          <w:sz w:val="24"/>
          <w:szCs w:val="24"/>
        </w:rPr>
        <w:t>. Rowman Altamira, 2005.</w:t>
      </w:r>
    </w:p>
    <w:p w:rsidR="00A82DC4" w:rsidRDefault="00A82DC4"/>
    <w:sectPr w:rsidR="00A82DC4" w:rsidSect="00A82DC4">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320" w:rsidRDefault="007F3320" w:rsidP="007D3E72">
      <w:pPr>
        <w:spacing w:after="0" w:line="240" w:lineRule="auto"/>
      </w:pPr>
      <w:r>
        <w:separator/>
      </w:r>
    </w:p>
  </w:endnote>
  <w:endnote w:type="continuationSeparator" w:id="0">
    <w:p w:rsidR="007F3320" w:rsidRDefault="007F3320" w:rsidP="007D3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320" w:rsidRDefault="007F3320" w:rsidP="007D3E72">
      <w:pPr>
        <w:spacing w:after="0" w:line="240" w:lineRule="auto"/>
      </w:pPr>
      <w:r>
        <w:separator/>
      </w:r>
    </w:p>
  </w:footnote>
  <w:footnote w:type="continuationSeparator" w:id="0">
    <w:p w:rsidR="007F3320" w:rsidRDefault="007F3320" w:rsidP="007D3E72">
      <w:pPr>
        <w:spacing w:after="0" w:line="240" w:lineRule="auto"/>
      </w:pPr>
      <w:r>
        <w:continuationSeparator/>
      </w:r>
    </w:p>
  </w:footnote>
  <w:footnote w:id="1">
    <w:p w:rsidR="007719AF" w:rsidRPr="007719AF" w:rsidRDefault="007719AF" w:rsidP="007719AF">
      <w:pPr>
        <w:pStyle w:val="FootnoteText"/>
        <w:rPr>
          <w:rFonts w:ascii="Times New Roman" w:hAnsi="Times New Roman" w:cs="Times New Roman"/>
          <w:sz w:val="24"/>
          <w:szCs w:val="24"/>
        </w:rPr>
      </w:pPr>
      <w:r w:rsidRPr="007719AF">
        <w:rPr>
          <w:rStyle w:val="FootnoteReference"/>
          <w:rFonts w:ascii="Times New Roman" w:hAnsi="Times New Roman" w:cs="Times New Roman"/>
          <w:sz w:val="24"/>
          <w:szCs w:val="24"/>
        </w:rPr>
        <w:footnoteRef/>
      </w:r>
      <w:r w:rsidRPr="007719AF">
        <w:rPr>
          <w:rFonts w:ascii="Times New Roman" w:hAnsi="Times New Roman" w:cs="Times New Roman"/>
          <w:sz w:val="24"/>
          <w:szCs w:val="24"/>
        </w:rPr>
        <w:t xml:space="preserve"> Mitchell, Peter. </w:t>
      </w:r>
      <w:r w:rsidRPr="007719AF">
        <w:rPr>
          <w:rFonts w:ascii="Times New Roman" w:hAnsi="Times New Roman" w:cs="Times New Roman"/>
          <w:i/>
          <w:iCs/>
          <w:sz w:val="24"/>
          <w:szCs w:val="24"/>
        </w:rPr>
        <w:t>African connections</w:t>
      </w:r>
      <w:r w:rsidRPr="007719AF">
        <w:rPr>
          <w:rFonts w:ascii="Times New Roman" w:hAnsi="Times New Roman" w:cs="Times New Roman"/>
          <w:sz w:val="24"/>
          <w:szCs w:val="24"/>
        </w:rPr>
        <w:t xml:space="preserve">: </w:t>
      </w:r>
      <w:r w:rsidRPr="007719AF">
        <w:rPr>
          <w:rFonts w:ascii="Times New Roman" w:hAnsi="Times New Roman" w:cs="Times New Roman"/>
          <w:i/>
          <w:iCs/>
          <w:sz w:val="24"/>
          <w:szCs w:val="24"/>
        </w:rPr>
        <w:t>Archaeological perspectives on Africa and the wider world</w:t>
      </w:r>
      <w:r w:rsidRPr="007719AF">
        <w:rPr>
          <w:rFonts w:ascii="Times New Roman" w:hAnsi="Times New Roman" w:cs="Times New Roman"/>
          <w:sz w:val="24"/>
          <w:szCs w:val="24"/>
        </w:rPr>
        <w:t>. Rowman Altamira, 2005.</w:t>
      </w:r>
    </w:p>
    <w:p w:rsidR="007719AF" w:rsidRDefault="007719AF">
      <w:pPr>
        <w:pStyle w:val="FootnoteText"/>
      </w:pPr>
    </w:p>
  </w:footnote>
  <w:footnote w:id="2">
    <w:p w:rsidR="007719AF" w:rsidRPr="007719AF" w:rsidRDefault="007719AF" w:rsidP="007719AF">
      <w:pPr>
        <w:pStyle w:val="FootnoteText"/>
        <w:rPr>
          <w:rFonts w:ascii="Times New Roman" w:hAnsi="Times New Roman" w:cs="Times New Roman"/>
          <w:sz w:val="24"/>
          <w:szCs w:val="24"/>
        </w:rPr>
      </w:pPr>
      <w:r w:rsidRPr="007719AF">
        <w:rPr>
          <w:rStyle w:val="FootnoteReference"/>
          <w:rFonts w:ascii="Times New Roman" w:hAnsi="Times New Roman" w:cs="Times New Roman"/>
          <w:sz w:val="24"/>
          <w:szCs w:val="24"/>
        </w:rPr>
        <w:footnoteRef/>
      </w:r>
      <w:r w:rsidRPr="007719AF">
        <w:rPr>
          <w:rFonts w:ascii="Times New Roman" w:hAnsi="Times New Roman" w:cs="Times New Roman"/>
          <w:sz w:val="24"/>
          <w:szCs w:val="24"/>
        </w:rPr>
        <w:t xml:space="preserve"> Ehrlich, Paul R., and John P. Holdren. "Impact of population growth." </w:t>
      </w:r>
      <w:r w:rsidRPr="007719AF">
        <w:rPr>
          <w:rFonts w:ascii="Times New Roman" w:hAnsi="Times New Roman" w:cs="Times New Roman"/>
          <w:i/>
          <w:iCs/>
          <w:sz w:val="24"/>
          <w:szCs w:val="24"/>
        </w:rPr>
        <w:t>Science</w:t>
      </w:r>
      <w:r w:rsidRPr="007719AF">
        <w:rPr>
          <w:rFonts w:ascii="Times New Roman" w:hAnsi="Times New Roman" w:cs="Times New Roman"/>
          <w:sz w:val="24"/>
          <w:szCs w:val="24"/>
        </w:rPr>
        <w:t> 171, no. 3977 (1971): 1212-1217.</w:t>
      </w:r>
    </w:p>
    <w:p w:rsidR="007719AF" w:rsidRDefault="007719AF">
      <w:pPr>
        <w:pStyle w:val="FootnoteText"/>
      </w:pPr>
    </w:p>
  </w:footnote>
  <w:footnote w:id="3">
    <w:p w:rsidR="007719AF" w:rsidRPr="007719AF" w:rsidRDefault="007719AF" w:rsidP="007719AF">
      <w:pPr>
        <w:pStyle w:val="FootnoteText"/>
        <w:rPr>
          <w:rFonts w:ascii="Times New Roman" w:hAnsi="Times New Roman" w:cs="Times New Roman"/>
          <w:sz w:val="24"/>
          <w:szCs w:val="24"/>
        </w:rPr>
      </w:pPr>
      <w:r w:rsidRPr="007719AF">
        <w:rPr>
          <w:rStyle w:val="FootnoteReference"/>
          <w:rFonts w:ascii="Times New Roman" w:hAnsi="Times New Roman" w:cs="Times New Roman"/>
          <w:sz w:val="24"/>
          <w:szCs w:val="24"/>
        </w:rPr>
        <w:footnoteRef/>
      </w:r>
      <w:r w:rsidRPr="007719AF">
        <w:rPr>
          <w:rFonts w:ascii="Times New Roman" w:hAnsi="Times New Roman" w:cs="Times New Roman"/>
          <w:sz w:val="24"/>
          <w:szCs w:val="24"/>
        </w:rPr>
        <w:t xml:space="preserve"> El-Hibri, Tayeb, and Tayeb Hibri. </w:t>
      </w:r>
      <w:r w:rsidRPr="007719AF">
        <w:rPr>
          <w:rFonts w:ascii="Times New Roman" w:hAnsi="Times New Roman" w:cs="Times New Roman"/>
          <w:i/>
          <w:iCs/>
          <w:sz w:val="24"/>
          <w:szCs w:val="24"/>
        </w:rPr>
        <w:t>Reinterpreting Islamic historiography: Harun al-Rashid and the narrative of the Abbasid caliphate</w:t>
      </w:r>
      <w:r w:rsidRPr="007719AF">
        <w:rPr>
          <w:rFonts w:ascii="Times New Roman" w:hAnsi="Times New Roman" w:cs="Times New Roman"/>
          <w:sz w:val="24"/>
          <w:szCs w:val="24"/>
        </w:rPr>
        <w:t>. Cambridge University Press, 1999.</w:t>
      </w:r>
    </w:p>
    <w:p w:rsidR="007719AF" w:rsidRPr="007719AF" w:rsidRDefault="007719AF">
      <w:pPr>
        <w:pStyle w:val="FootnoteText"/>
        <w:rPr>
          <w:rFonts w:ascii="Times New Roman" w:hAnsi="Times New Roman" w:cs="Times New Roman"/>
          <w:sz w:val="24"/>
          <w:szCs w:val="24"/>
        </w:rPr>
      </w:pPr>
    </w:p>
  </w:footnote>
  <w:footnote w:id="4">
    <w:p w:rsidR="007719AF" w:rsidRDefault="007719AF">
      <w:pPr>
        <w:pStyle w:val="FootnoteText"/>
      </w:pPr>
      <w:r w:rsidRPr="007719AF">
        <w:rPr>
          <w:rStyle w:val="FootnoteReference"/>
          <w:rFonts w:ascii="Times New Roman" w:hAnsi="Times New Roman" w:cs="Times New Roman"/>
          <w:sz w:val="24"/>
          <w:szCs w:val="24"/>
        </w:rPr>
        <w:footnoteRef/>
      </w:r>
      <w:r w:rsidRPr="007719AF">
        <w:rPr>
          <w:rFonts w:ascii="Times New Roman" w:hAnsi="Times New Roman" w:cs="Times New Roman"/>
          <w:sz w:val="24"/>
          <w:szCs w:val="24"/>
        </w:rPr>
        <w:t xml:space="preserve"> Au, Wayne. "Meritocracy 2.0: High-stakes, standardized testing as a racial project of neoliberal multiculturalism." Educational Policy 30, no. 1 (2016): 39-62.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259910"/>
      <w:docPartObj>
        <w:docPartGallery w:val="Page Numbers (Top of Page)"/>
        <w:docPartUnique/>
      </w:docPartObj>
    </w:sdtPr>
    <w:sdtEndPr>
      <w:rPr>
        <w:rFonts w:ascii="Times New Roman" w:hAnsi="Times New Roman" w:cs="Times New Roman"/>
        <w:noProof/>
        <w:sz w:val="24"/>
        <w:szCs w:val="24"/>
      </w:rPr>
    </w:sdtEndPr>
    <w:sdtContent>
      <w:p w:rsidR="007D3E72" w:rsidRPr="007D3E72" w:rsidRDefault="007D3E72">
        <w:pPr>
          <w:pStyle w:val="Header"/>
          <w:jc w:val="right"/>
          <w:rPr>
            <w:rFonts w:ascii="Times New Roman" w:hAnsi="Times New Roman" w:cs="Times New Roman"/>
            <w:sz w:val="24"/>
            <w:szCs w:val="24"/>
          </w:rPr>
        </w:pPr>
        <w:r w:rsidRPr="007D3E72">
          <w:rPr>
            <w:rFonts w:ascii="Times New Roman" w:hAnsi="Times New Roman" w:cs="Times New Roman"/>
            <w:sz w:val="24"/>
            <w:szCs w:val="24"/>
          </w:rPr>
          <w:fldChar w:fldCharType="begin"/>
        </w:r>
        <w:r w:rsidRPr="007D3E72">
          <w:rPr>
            <w:rFonts w:ascii="Times New Roman" w:hAnsi="Times New Roman" w:cs="Times New Roman"/>
            <w:sz w:val="24"/>
            <w:szCs w:val="24"/>
          </w:rPr>
          <w:instrText xml:space="preserve"> PAGE   \* MERGEFORMAT </w:instrText>
        </w:r>
        <w:r w:rsidRPr="007D3E72">
          <w:rPr>
            <w:rFonts w:ascii="Times New Roman" w:hAnsi="Times New Roman" w:cs="Times New Roman"/>
            <w:sz w:val="24"/>
            <w:szCs w:val="24"/>
          </w:rPr>
          <w:fldChar w:fldCharType="separate"/>
        </w:r>
        <w:r w:rsidR="00834793">
          <w:rPr>
            <w:rFonts w:ascii="Times New Roman" w:hAnsi="Times New Roman" w:cs="Times New Roman"/>
            <w:noProof/>
            <w:sz w:val="24"/>
            <w:szCs w:val="24"/>
          </w:rPr>
          <w:t>4</w:t>
        </w:r>
        <w:r w:rsidRPr="007D3E72">
          <w:rPr>
            <w:rFonts w:ascii="Times New Roman" w:hAnsi="Times New Roman" w:cs="Times New Roman"/>
            <w:noProof/>
            <w:sz w:val="24"/>
            <w:szCs w:val="24"/>
          </w:rPr>
          <w:fldChar w:fldCharType="end"/>
        </w:r>
      </w:p>
    </w:sdtContent>
  </w:sdt>
  <w:p w:rsidR="00A82DC4" w:rsidRDefault="00A82D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160"/>
    <w:rsid w:val="000C149C"/>
    <w:rsid w:val="00290828"/>
    <w:rsid w:val="004B1791"/>
    <w:rsid w:val="007719AF"/>
    <w:rsid w:val="007D3E72"/>
    <w:rsid w:val="007F3320"/>
    <w:rsid w:val="00834793"/>
    <w:rsid w:val="008476B5"/>
    <w:rsid w:val="008A7160"/>
    <w:rsid w:val="0094635A"/>
    <w:rsid w:val="00A82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4A56B"/>
  <w15:chartTrackingRefBased/>
  <w15:docId w15:val="{CCEC7B31-C691-4B22-86B2-38B64793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E72"/>
  </w:style>
  <w:style w:type="paragraph" w:styleId="Footer">
    <w:name w:val="footer"/>
    <w:basedOn w:val="Normal"/>
    <w:link w:val="FooterChar"/>
    <w:uiPriority w:val="99"/>
    <w:unhideWhenUsed/>
    <w:rsid w:val="007D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E72"/>
  </w:style>
  <w:style w:type="paragraph" w:styleId="FootnoteText">
    <w:name w:val="footnote text"/>
    <w:basedOn w:val="Normal"/>
    <w:link w:val="FootnoteTextChar"/>
    <w:uiPriority w:val="99"/>
    <w:semiHidden/>
    <w:unhideWhenUsed/>
    <w:rsid w:val="007719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19AF"/>
    <w:rPr>
      <w:sz w:val="20"/>
      <w:szCs w:val="20"/>
    </w:rPr>
  </w:style>
  <w:style w:type="character" w:styleId="FootnoteReference">
    <w:name w:val="footnote reference"/>
    <w:basedOn w:val="DefaultParagraphFont"/>
    <w:uiPriority w:val="99"/>
    <w:semiHidden/>
    <w:unhideWhenUsed/>
    <w:rsid w:val="007719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AFE50-798D-4511-8FA4-D4BC3DEB4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2020-04-06T15:30:00Z</dcterms:created>
  <dcterms:modified xsi:type="dcterms:W3CDTF">2020-04-06T16:50:00Z</dcterms:modified>
</cp:coreProperties>
</file>